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CellSpacing w:w="0" w:type="dxa"/>
        <w:shd w:val="clear" w:color="auto" w:fill="FFFFFF"/>
        <w:tblCellMar>
          <w:left w:w="0" w:type="dxa"/>
          <w:right w:w="0" w:type="dxa"/>
        </w:tblCellMar>
        <w:tblLook w:val="04A0" w:firstRow="1" w:lastRow="0" w:firstColumn="1" w:lastColumn="0" w:noHBand="0" w:noVBand="1"/>
      </w:tblPr>
      <w:tblGrid>
        <w:gridCol w:w="10800"/>
      </w:tblGrid>
      <w:tr w:rsidR="002C0C4F" w:rsidRPr="002C0C4F" w:rsidTr="002C0C4F">
        <w:trPr>
          <w:tblCellSpacing w:w="0" w:type="dxa"/>
        </w:trPr>
        <w:tc>
          <w:tcPr>
            <w:tcW w:w="0" w:type="auto"/>
            <w:shd w:val="clear" w:color="auto" w:fill="FFFFFF"/>
            <w:tcMar>
              <w:top w:w="0" w:type="dxa"/>
              <w:left w:w="450" w:type="dxa"/>
              <w:bottom w:w="0" w:type="dxa"/>
              <w:right w:w="300" w:type="dxa"/>
            </w:tcMar>
            <w:vAlign w:val="center"/>
            <w:hideMark/>
          </w:tcPr>
          <w:tbl>
            <w:tblPr>
              <w:tblpPr w:leftFromText="180" w:rightFromText="180" w:horzAnchor="page" w:tblpX="1" w:tblpY="-380"/>
              <w:tblOverlap w:val="never"/>
              <w:tblW w:w="10050" w:type="dxa"/>
              <w:tblCellSpacing w:w="0" w:type="dxa"/>
              <w:tblCellMar>
                <w:left w:w="0" w:type="dxa"/>
                <w:right w:w="0" w:type="dxa"/>
              </w:tblCellMar>
              <w:tblLook w:val="04A0" w:firstRow="1" w:lastRow="0" w:firstColumn="1" w:lastColumn="0" w:noHBand="0" w:noVBand="1"/>
            </w:tblPr>
            <w:tblGrid>
              <w:gridCol w:w="10050"/>
            </w:tblGrid>
            <w:tr w:rsidR="002C0C4F" w:rsidRPr="002C0C4F" w:rsidTr="002C0C4F">
              <w:trPr>
                <w:trHeight w:val="360"/>
                <w:tblCellSpacing w:w="0" w:type="dxa"/>
              </w:trPr>
              <w:tc>
                <w:tcPr>
                  <w:tcW w:w="10050" w:type="dxa"/>
                  <w:hideMark/>
                </w:tcPr>
                <w:p w:rsidR="002C0C4F" w:rsidRPr="002C0C4F" w:rsidRDefault="002C0C4F" w:rsidP="002C0C4F">
                  <w:pPr>
                    <w:spacing w:before="100" w:beforeAutospacing="1" w:after="100" w:afterAutospacing="1"/>
                    <w:outlineLvl w:val="0"/>
                    <w:rPr>
                      <w:rFonts w:ascii="Calibri" w:eastAsia="Times New Roman" w:hAnsi="Calibri" w:cs="Calibri"/>
                      <w:b/>
                      <w:bCs/>
                      <w:kern w:val="36"/>
                      <w:sz w:val="48"/>
                      <w:szCs w:val="48"/>
                    </w:rPr>
                  </w:pPr>
                  <w:r w:rsidRPr="002C0C4F">
                    <w:rPr>
                      <w:rFonts w:ascii="Times" w:eastAsia="Times New Roman" w:hAnsi="Times" w:cs="Calibri"/>
                      <w:color w:val="000000"/>
                      <w:kern w:val="36"/>
                      <w:sz w:val="48"/>
                      <w:szCs w:val="48"/>
                    </w:rPr>
                    <w:t>Coping with Market Volatility: Could This Be a Chance to Rebalance at a Discount?</w:t>
                  </w:r>
                </w:p>
                <w:p w:rsidR="002C0C4F" w:rsidRPr="002C0C4F" w:rsidRDefault="002C0C4F" w:rsidP="002C0C4F">
                  <w:pPr>
                    <w:spacing w:before="100" w:beforeAutospacing="1" w:after="105"/>
                    <w:rPr>
                      <w:rFonts w:ascii="Times New Roman" w:eastAsia="Times New Roman" w:hAnsi="Times New Roman" w:cs="Times New Roman"/>
                    </w:rPr>
                  </w:pPr>
                  <w:r w:rsidRPr="002C0C4F">
                    <w:rPr>
                      <w:rFonts w:ascii="Arial" w:eastAsia="Times New Roman" w:hAnsi="Arial" w:cs="Arial"/>
                      <w:color w:val="000000"/>
                      <w:sz w:val="20"/>
                      <w:szCs w:val="20"/>
                    </w:rPr>
                    <w:t>In a volatile market, it's easy to allow your emotions to influence your investment decisions. But if you can keep your cool while those around you are losing theirs, you may be able to take advantage of potential opportunities.</w:t>
                  </w:r>
                </w:p>
                <w:p w:rsidR="002C0C4F" w:rsidRPr="002C0C4F" w:rsidRDefault="002C0C4F" w:rsidP="002C0C4F">
                  <w:pPr>
                    <w:spacing w:before="100" w:beforeAutospacing="1" w:after="105"/>
                    <w:rPr>
                      <w:rFonts w:ascii="Times New Roman" w:eastAsia="Times New Roman" w:hAnsi="Times New Roman" w:cs="Times New Roman"/>
                    </w:rPr>
                  </w:pPr>
                  <w:r w:rsidRPr="002C0C4F">
                    <w:rPr>
                      <w:rFonts w:ascii="Arial" w:eastAsia="Times New Roman" w:hAnsi="Arial" w:cs="Arial"/>
                      <w:color w:val="000000"/>
                      <w:sz w:val="20"/>
                      <w:szCs w:val="20"/>
                    </w:rPr>
                    <w:t>One way to do that is by reviewing your portfolio to determine if it's time to rebalance your asset allocation or modify your level of diversification.</w:t>
                  </w:r>
                </w:p>
                <w:p w:rsidR="002C0C4F" w:rsidRPr="002C0C4F" w:rsidRDefault="002C0C4F" w:rsidP="002C0C4F">
                  <w:pPr>
                    <w:spacing w:before="100" w:beforeAutospacing="1" w:after="105"/>
                    <w:rPr>
                      <w:rFonts w:ascii="Times New Roman" w:eastAsia="Times New Roman" w:hAnsi="Times New Roman" w:cs="Times New Roman"/>
                    </w:rPr>
                  </w:pPr>
                  <w:r w:rsidRPr="002C0C4F">
                    <w:rPr>
                      <w:rFonts w:ascii="Arial" w:eastAsia="Times New Roman" w:hAnsi="Arial" w:cs="Arial"/>
                      <w:color w:val="000000"/>
                      <w:sz w:val="20"/>
                      <w:szCs w:val="20"/>
                    </w:rPr>
                    <w:t>Rebalancing means adjusting your portfolio to get it back to your original target allocation. In today's market, it often makes sense to first determine whether that original target is still appropriate for your needs. If it makes sense to return to your original allocation or establish a new one, there are two ways to proceed. You can sell securities in some asset classes and invest the proceeds in others, and/or redirect new investment dollars into selected asset classes until the target allocation is reached.</w:t>
                  </w:r>
                </w:p>
                <w:p w:rsidR="002C0C4F" w:rsidRPr="002C0C4F" w:rsidRDefault="002C0C4F" w:rsidP="002C0C4F">
                  <w:pPr>
                    <w:spacing w:before="100" w:beforeAutospacing="1" w:after="105"/>
                    <w:rPr>
                      <w:rFonts w:ascii="Times New Roman" w:eastAsia="Times New Roman" w:hAnsi="Times New Roman" w:cs="Times New Roman"/>
                    </w:rPr>
                  </w:pPr>
                  <w:r w:rsidRPr="002C0C4F">
                    <w:rPr>
                      <w:rFonts w:ascii="Arial" w:eastAsia="Times New Roman" w:hAnsi="Arial" w:cs="Arial"/>
                      <w:color w:val="000000"/>
                      <w:sz w:val="20"/>
                      <w:szCs w:val="20"/>
                    </w:rPr>
                    <w:t>If your current allocation is appropriate, but there are concerns with your overall level of diversification, it's possible to shift some investments within a given asset class. Keep in mind that selling securities can have tax consequences, depending on account type.</w:t>
                  </w:r>
                </w:p>
                <w:p w:rsidR="002C0C4F" w:rsidRPr="002C0C4F" w:rsidRDefault="002C0C4F" w:rsidP="002C0C4F">
                  <w:pPr>
                    <w:spacing w:before="100" w:beforeAutospacing="1" w:after="105"/>
                    <w:rPr>
                      <w:rFonts w:ascii="Times New Roman" w:eastAsia="Times New Roman" w:hAnsi="Times New Roman" w:cs="Times New Roman"/>
                    </w:rPr>
                  </w:pPr>
                  <w:r w:rsidRPr="002C0C4F">
                    <w:rPr>
                      <w:rFonts w:ascii="Arial" w:eastAsia="Times New Roman" w:hAnsi="Arial" w:cs="Arial"/>
                      <w:color w:val="000000"/>
                      <w:sz w:val="20"/>
                      <w:szCs w:val="20"/>
                    </w:rPr>
                    <w:t>Asset allocation and diversification can help manage investment risk and might better position your portfolio for the future. The silver lining to broad-based market turmoil is that you may be able to acquire some investments at a discount relative to what you would have paid when the market was up.</w:t>
                  </w:r>
                </w:p>
                <w:p w:rsidR="002C0C4F" w:rsidRPr="002C0C4F" w:rsidRDefault="002C0C4F" w:rsidP="002C0C4F">
                  <w:pPr>
                    <w:spacing w:before="100" w:beforeAutospacing="1" w:after="105"/>
                    <w:rPr>
                      <w:rFonts w:ascii="Times New Roman" w:eastAsia="Times New Roman" w:hAnsi="Times New Roman" w:cs="Times New Roman"/>
                    </w:rPr>
                  </w:pPr>
                  <w:r w:rsidRPr="002C0C4F">
                    <w:rPr>
                      <w:rFonts w:ascii="Arial" w:eastAsia="Times New Roman" w:hAnsi="Arial" w:cs="Arial"/>
                      <w:i/>
                      <w:iCs/>
                      <w:color w:val="000000"/>
                      <w:sz w:val="20"/>
                      <w:szCs w:val="20"/>
                    </w:rPr>
                    <w:t>The return and principal value of stocks fluctuate with changes in market conditions. Shares, when sold, may be worth more or less than their original cost. Asset allocation and diversification are methods used to help manage investment risk; they do not guarantee a profit or protect against investment loss.</w:t>
                  </w:r>
                </w:p>
                <w:p w:rsidR="002C0C4F" w:rsidRPr="002C0C4F" w:rsidRDefault="002C0C4F" w:rsidP="002C0C4F">
                  <w:pPr>
                    <w:spacing w:before="100" w:beforeAutospacing="1" w:after="105"/>
                    <w:rPr>
                      <w:rFonts w:ascii="Times New Roman" w:eastAsia="Times New Roman" w:hAnsi="Times New Roman" w:cs="Times New Roman"/>
                    </w:rPr>
                  </w:pPr>
                  <w:r w:rsidRPr="002C0C4F">
                    <w:rPr>
                      <w:rFonts w:ascii="Arial" w:eastAsia="Times New Roman" w:hAnsi="Arial" w:cs="Arial"/>
                      <w:i/>
                      <w:iCs/>
                      <w:color w:val="000000"/>
                      <w:sz w:val="20"/>
                      <w:szCs w:val="20"/>
                    </w:rPr>
                    <w:t>Although there is no assurance that working with a financial professional will improve investment results, a professional can evaluate your objectives and available resources and help you consider appropriate long-term financial strategies.</w:t>
                  </w:r>
                </w:p>
              </w:tc>
            </w:tr>
          </w:tbl>
          <w:p w:rsidR="002C0C4F" w:rsidRPr="002C0C4F" w:rsidRDefault="002C0C4F" w:rsidP="002C0C4F">
            <w:pPr>
              <w:rPr>
                <w:rFonts w:ascii="-webkit-standard" w:eastAsia="Times New Roman" w:hAnsi="-webkit-standard" w:cs="Times New Roman"/>
              </w:rPr>
            </w:pPr>
          </w:p>
        </w:tc>
      </w:tr>
      <w:tr w:rsidR="002C0C4F" w:rsidRPr="002C0C4F" w:rsidTr="002C0C4F">
        <w:trPr>
          <w:tblCellSpacing w:w="0" w:type="dxa"/>
        </w:trPr>
        <w:tc>
          <w:tcPr>
            <w:tcW w:w="0" w:type="auto"/>
            <w:shd w:val="clear" w:color="auto" w:fill="FFFFFF"/>
            <w:tcMar>
              <w:top w:w="0" w:type="dxa"/>
              <w:left w:w="45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025"/>
              <w:gridCol w:w="5025"/>
            </w:tblGrid>
            <w:tr w:rsidR="002C0C4F" w:rsidRPr="002C0C4F">
              <w:trPr>
                <w:tblCellSpacing w:w="0" w:type="dxa"/>
              </w:trPr>
              <w:tc>
                <w:tcPr>
                  <w:tcW w:w="2500" w:type="pct"/>
                  <w:tcMar>
                    <w:top w:w="150" w:type="dxa"/>
                    <w:left w:w="0" w:type="dxa"/>
                    <w:bottom w:w="75" w:type="dxa"/>
                    <w:right w:w="0" w:type="dxa"/>
                  </w:tcMar>
                  <w:vAlign w:val="center"/>
                  <w:hideMark/>
                </w:tcPr>
                <w:bookmarkStart w:id="0" w:name="_GoBack"/>
                <w:p w:rsidR="002C0C4F" w:rsidRPr="002C0C4F" w:rsidRDefault="002C0C4F" w:rsidP="002C0C4F">
                  <w:pPr>
                    <w:rPr>
                      <w:rFonts w:ascii="Calibri" w:eastAsia="Times New Roman" w:hAnsi="Calibri" w:cs="Calibri"/>
                      <w:sz w:val="22"/>
                      <w:szCs w:val="22"/>
                    </w:rPr>
                  </w:pPr>
                  <w:r w:rsidRPr="002C0C4F">
                    <w:rPr>
                      <w:rFonts w:ascii="Arial" w:eastAsia="Times New Roman" w:hAnsi="Arial" w:cs="Arial"/>
                      <w:b/>
                      <w:bCs/>
                      <w:sz w:val="18"/>
                      <w:szCs w:val="18"/>
                    </w:rPr>
                    <w:fldChar w:fldCharType="begin"/>
                  </w:r>
                  <w:r w:rsidRPr="002C0C4F">
                    <w:rPr>
                      <w:rFonts w:ascii="Arial" w:eastAsia="Times New Roman" w:hAnsi="Arial" w:cs="Arial"/>
                      <w:b/>
                      <w:bCs/>
                      <w:sz w:val="18"/>
                      <w:szCs w:val="18"/>
                    </w:rPr>
                    <w:instrText xml:space="preserve"> HYPERLINK "mailto:mmodzeleski@LegacyWealthAdvisorsNY.com?subject=Sign%20up%20my%20friends%20and%20colleagues&amp;body=Hi%20Mark.%20Here%20are%20the%20names%20and%20email%20addresses%20of%20some%20people%20who%20I%20think%20would%20like%20to%20receive%20information%20from%20you:" </w:instrText>
                  </w:r>
                  <w:r w:rsidRPr="002C0C4F">
                    <w:rPr>
                      <w:rFonts w:ascii="Arial" w:eastAsia="Times New Roman" w:hAnsi="Arial" w:cs="Arial"/>
                      <w:b/>
                      <w:bCs/>
                      <w:sz w:val="18"/>
                      <w:szCs w:val="18"/>
                    </w:rPr>
                    <w:fldChar w:fldCharType="separate"/>
                  </w:r>
                  <w:r w:rsidRPr="002C0C4F">
                    <w:rPr>
                      <w:rFonts w:ascii="Arial" w:eastAsia="Times New Roman" w:hAnsi="Arial" w:cs="Arial"/>
                      <w:b/>
                      <w:bCs/>
                      <w:color w:val="0000FF"/>
                      <w:sz w:val="18"/>
                      <w:szCs w:val="18"/>
                      <w:u w:val="single"/>
                    </w:rPr>
                    <w:t>Refer a friend</w:t>
                  </w:r>
                  <w:r w:rsidRPr="002C0C4F">
                    <w:rPr>
                      <w:rFonts w:ascii="Arial" w:eastAsia="Times New Roman" w:hAnsi="Arial" w:cs="Arial"/>
                      <w:b/>
                      <w:bCs/>
                      <w:sz w:val="18"/>
                      <w:szCs w:val="18"/>
                    </w:rPr>
                    <w:fldChar w:fldCharType="end"/>
                  </w:r>
                </w:p>
              </w:tc>
              <w:tc>
                <w:tcPr>
                  <w:tcW w:w="2500" w:type="pct"/>
                  <w:tcMar>
                    <w:top w:w="150" w:type="dxa"/>
                    <w:left w:w="0" w:type="dxa"/>
                    <w:bottom w:w="75" w:type="dxa"/>
                    <w:right w:w="0" w:type="dxa"/>
                  </w:tcMar>
                  <w:vAlign w:val="center"/>
                  <w:hideMark/>
                </w:tcPr>
                <w:p w:rsidR="002C0C4F" w:rsidRPr="002C0C4F" w:rsidRDefault="002C0C4F" w:rsidP="002C0C4F">
                  <w:pPr>
                    <w:jc w:val="right"/>
                    <w:rPr>
                      <w:rFonts w:ascii="Calibri" w:eastAsia="Times New Roman" w:hAnsi="Calibri" w:cs="Calibri"/>
                      <w:sz w:val="22"/>
                      <w:szCs w:val="22"/>
                    </w:rPr>
                  </w:pPr>
                  <w:r w:rsidRPr="002C0C4F">
                    <w:rPr>
                      <w:rFonts w:ascii="Arial" w:eastAsia="Times New Roman" w:hAnsi="Arial" w:cs="Arial"/>
                      <w:b/>
                      <w:bCs/>
                      <w:sz w:val="18"/>
                      <w:szCs w:val="18"/>
                    </w:rPr>
                    <w:t>To find out more click </w:t>
                  </w:r>
                  <w:hyperlink r:id="rId4" w:history="1">
                    <w:r w:rsidRPr="002C0C4F">
                      <w:rPr>
                        <w:rFonts w:ascii="Arial" w:eastAsia="Times New Roman" w:hAnsi="Arial" w:cs="Arial"/>
                        <w:b/>
                        <w:bCs/>
                        <w:color w:val="0000FF"/>
                        <w:sz w:val="18"/>
                        <w:szCs w:val="18"/>
                        <w:u w:val="single"/>
                      </w:rPr>
                      <w:t>here</w:t>
                    </w:r>
                  </w:hyperlink>
                </w:p>
              </w:tc>
            </w:tr>
          </w:tbl>
          <w:p w:rsidR="002C0C4F" w:rsidRPr="002C0C4F" w:rsidRDefault="002C0C4F" w:rsidP="002C0C4F">
            <w:pPr>
              <w:rPr>
                <w:rFonts w:ascii="-webkit-standard" w:eastAsia="Times New Roman" w:hAnsi="-webkit-standard" w:cs="Times New Roman"/>
              </w:rPr>
            </w:pPr>
          </w:p>
        </w:tc>
      </w:tr>
      <w:tr w:rsidR="002C0C4F" w:rsidRPr="002C0C4F" w:rsidTr="002C0C4F">
        <w:trPr>
          <w:tblCellSpacing w:w="0" w:type="dxa"/>
        </w:trPr>
        <w:tc>
          <w:tcPr>
            <w:tcW w:w="0" w:type="auto"/>
            <w:shd w:val="clear" w:color="auto" w:fill="FFFFFF"/>
            <w:tcMar>
              <w:top w:w="0" w:type="dxa"/>
              <w:left w:w="450" w:type="dxa"/>
              <w:bottom w:w="450" w:type="dxa"/>
              <w:right w:w="300" w:type="dxa"/>
            </w:tcMar>
            <w:vAlign w:val="center"/>
            <w:hideMark/>
          </w:tcPr>
          <w:tbl>
            <w:tblPr>
              <w:tblW w:w="5000" w:type="pct"/>
              <w:tblCellSpacing w:w="0" w:type="dxa"/>
              <w:tblBorders>
                <w:top w:val="single" w:sz="8" w:space="0" w:color="999999"/>
              </w:tblBorders>
              <w:shd w:val="clear" w:color="auto" w:fill="FFFFFF"/>
              <w:tblCellMar>
                <w:left w:w="0" w:type="dxa"/>
                <w:right w:w="0" w:type="dxa"/>
              </w:tblCellMar>
              <w:tblLook w:val="04A0" w:firstRow="1" w:lastRow="0" w:firstColumn="1" w:lastColumn="0" w:noHBand="0" w:noVBand="1"/>
            </w:tblPr>
            <w:tblGrid>
              <w:gridCol w:w="10050"/>
            </w:tblGrid>
            <w:tr w:rsidR="002C0C4F" w:rsidRPr="002C0C4F">
              <w:trPr>
                <w:tblCellSpacing w:w="0" w:type="dxa"/>
              </w:trPr>
              <w:tc>
                <w:tcPr>
                  <w:tcW w:w="0" w:type="auto"/>
                  <w:tcBorders>
                    <w:top w:val="nil"/>
                    <w:left w:val="nil"/>
                    <w:bottom w:val="nil"/>
                    <w:right w:val="nil"/>
                  </w:tcBorders>
                  <w:shd w:val="clear" w:color="auto" w:fill="FFFFFF"/>
                  <w:tcMar>
                    <w:top w:w="75" w:type="dxa"/>
                    <w:left w:w="0" w:type="dxa"/>
                    <w:bottom w:w="0" w:type="dxa"/>
                    <w:right w:w="0" w:type="dxa"/>
                  </w:tcMar>
                  <w:vAlign w:val="center"/>
                  <w:hideMark/>
                </w:tcPr>
                <w:bookmarkEnd w:id="0"/>
                <w:p w:rsidR="002C0C4F" w:rsidRPr="002C0C4F" w:rsidRDefault="002C0C4F" w:rsidP="002C0C4F">
                  <w:pPr>
                    <w:rPr>
                      <w:rFonts w:ascii="Calibri" w:eastAsia="Times New Roman" w:hAnsi="Calibri" w:cs="Calibri"/>
                      <w:sz w:val="22"/>
                      <w:szCs w:val="22"/>
                    </w:rPr>
                  </w:pPr>
                  <w:r w:rsidRPr="002C0C4F">
                    <w:rPr>
                      <w:rFonts w:ascii="Arial" w:eastAsia="Times New Roman" w:hAnsi="Arial" w:cs="Arial"/>
                      <w:b/>
                      <w:bCs/>
                      <w:color w:val="000000"/>
                      <w:sz w:val="20"/>
                      <w:szCs w:val="20"/>
                    </w:rPr>
                    <w:t>IMPORTANT DISCLOSURES</w:t>
                  </w:r>
                  <w:r w:rsidRPr="002C0C4F">
                    <w:rPr>
                      <w:rFonts w:ascii="Arial" w:eastAsia="Times New Roman" w:hAnsi="Arial" w:cs="Arial"/>
                      <w:color w:val="000000"/>
                      <w:sz w:val="20"/>
                      <w:szCs w:val="20"/>
                    </w:rPr>
                    <w:br/>
                  </w:r>
                  <w:r w:rsidRPr="002C0C4F">
                    <w:rPr>
                      <w:rFonts w:ascii="Arial" w:eastAsia="Times New Roman" w:hAnsi="Arial" w:cs="Arial"/>
                      <w:color w:val="000000"/>
                      <w:sz w:val="20"/>
                      <w:szCs w:val="20"/>
                    </w:rPr>
                    <w:br/>
                    <w:t>Broadridge Investor Communication Solutions, Inc. does not provide investment, tax, legal, or retirement advice or recommendations. The information presented here is not specific to any individual's personal circumstances.</w:t>
                  </w:r>
                  <w:r w:rsidRPr="002C0C4F">
                    <w:rPr>
                      <w:rFonts w:ascii="Arial" w:eastAsia="Times New Roman" w:hAnsi="Arial" w:cs="Arial"/>
                      <w:color w:val="000000"/>
                      <w:sz w:val="20"/>
                      <w:szCs w:val="20"/>
                    </w:rPr>
                    <w:br/>
                  </w:r>
                  <w:r w:rsidRPr="002C0C4F">
                    <w:rPr>
                      <w:rFonts w:ascii="Arial" w:eastAsia="Times New Roman" w:hAnsi="Arial" w:cs="Arial"/>
                      <w:color w:val="000000"/>
                      <w:sz w:val="20"/>
                      <w:szCs w:val="20"/>
                    </w:rPr>
                    <w:br/>
                    <w:t>To the extent that this material concerns tax matters, it is not intended or written to be used, and cannot be used, by a taxpayer for the purpose of avoiding penalties that may be imposed by law. Each taxpayer should seek independent advice from a tax professional based on his or her individual circumstances.</w:t>
                  </w:r>
                  <w:r w:rsidRPr="002C0C4F">
                    <w:rPr>
                      <w:rFonts w:ascii="Arial" w:eastAsia="Times New Roman" w:hAnsi="Arial" w:cs="Arial"/>
                      <w:color w:val="000000"/>
                      <w:sz w:val="20"/>
                      <w:szCs w:val="20"/>
                    </w:rPr>
                    <w:br/>
                  </w:r>
                  <w:r w:rsidRPr="002C0C4F">
                    <w:rPr>
                      <w:rFonts w:ascii="Arial" w:eastAsia="Times New Roman" w:hAnsi="Arial" w:cs="Arial"/>
                      <w:color w:val="000000"/>
                      <w:sz w:val="20"/>
                      <w:szCs w:val="20"/>
                    </w:rPr>
                    <w:br/>
                    <w:t>These materials are provided for general information and educational purposes based upon publicly available information from sources believed to be reliable — we cannot assure the accuracy or completeness of these materials. The information in these materials may change at any time and without notice.</w:t>
                  </w:r>
                  <w:r w:rsidRPr="002C0C4F">
                    <w:rPr>
                      <w:rFonts w:ascii="Arial" w:eastAsia="Times New Roman" w:hAnsi="Arial" w:cs="Arial"/>
                      <w:color w:val="000000"/>
                      <w:sz w:val="20"/>
                      <w:szCs w:val="20"/>
                    </w:rPr>
                    <w:br/>
                  </w:r>
                  <w:r w:rsidRPr="002C0C4F">
                    <w:rPr>
                      <w:rFonts w:ascii="Arial" w:eastAsia="Times New Roman" w:hAnsi="Arial" w:cs="Arial"/>
                      <w:color w:val="000000"/>
                      <w:sz w:val="20"/>
                      <w:szCs w:val="20"/>
                    </w:rPr>
                    <w:br/>
                  </w:r>
                  <w:r w:rsidRPr="002C0C4F">
                    <w:rPr>
                      <w:rFonts w:ascii="Arial" w:eastAsia="Times New Roman" w:hAnsi="Arial" w:cs="Arial"/>
                      <w:color w:val="000000"/>
                      <w:sz w:val="20"/>
                      <w:szCs w:val="20"/>
                    </w:rPr>
                    <w:br/>
                  </w:r>
                  <w:r w:rsidRPr="002C0C4F">
                    <w:rPr>
                      <w:rFonts w:ascii="Arial" w:eastAsia="Times New Roman" w:hAnsi="Arial" w:cs="Arial"/>
                      <w:color w:val="000000"/>
                      <w:sz w:val="20"/>
                      <w:szCs w:val="20"/>
                    </w:rPr>
                    <w:br/>
                    <w:t>This communication is strictly intended for individuals residing in the state(s) of NY. No offers may be made or accepted from any resident outside the specific states referenced.</w:t>
                  </w:r>
                </w:p>
              </w:tc>
            </w:tr>
            <w:tr w:rsidR="002C0C4F" w:rsidRPr="002C0C4F">
              <w:trPr>
                <w:tblCellSpacing w:w="0" w:type="dxa"/>
              </w:trPr>
              <w:tc>
                <w:tcPr>
                  <w:tcW w:w="0" w:type="auto"/>
                  <w:tcBorders>
                    <w:top w:val="nil"/>
                    <w:left w:val="nil"/>
                    <w:bottom w:val="nil"/>
                    <w:right w:val="nil"/>
                  </w:tcBorders>
                  <w:shd w:val="clear" w:color="auto" w:fill="FFFFFF"/>
                  <w:tcMar>
                    <w:top w:w="75" w:type="dxa"/>
                    <w:left w:w="0" w:type="dxa"/>
                    <w:bottom w:w="0" w:type="dxa"/>
                    <w:right w:w="0" w:type="dxa"/>
                  </w:tcMar>
                  <w:vAlign w:val="center"/>
                  <w:hideMark/>
                </w:tcPr>
                <w:p w:rsidR="002C0C4F" w:rsidRPr="002C0C4F" w:rsidRDefault="002C0C4F" w:rsidP="002C0C4F">
                  <w:pPr>
                    <w:spacing w:before="100" w:beforeAutospacing="1" w:after="100" w:afterAutospacing="1"/>
                    <w:rPr>
                      <w:rFonts w:ascii="Times New Roman" w:eastAsia="Times New Roman" w:hAnsi="Times New Roman" w:cs="Times New Roman"/>
                    </w:rPr>
                  </w:pPr>
                  <w:r w:rsidRPr="002C0C4F">
                    <w:rPr>
                      <w:rFonts w:ascii="Arial" w:eastAsia="Times New Roman" w:hAnsi="Arial" w:cs="Arial"/>
                      <w:b/>
                      <w:bCs/>
                      <w:color w:val="000000"/>
                      <w:sz w:val="16"/>
                      <w:szCs w:val="16"/>
                    </w:rPr>
                    <w:lastRenderedPageBreak/>
                    <w:t>Prepared by Broadridge Advisor Solutions Copyright 2020.</w:t>
                  </w:r>
                </w:p>
              </w:tc>
            </w:tr>
          </w:tbl>
          <w:p w:rsidR="002C0C4F" w:rsidRPr="002C0C4F" w:rsidRDefault="002C0C4F" w:rsidP="002C0C4F">
            <w:pPr>
              <w:rPr>
                <w:rFonts w:ascii="-webkit-standard" w:eastAsia="Times New Roman" w:hAnsi="-webkit-standard" w:cs="Times New Roman"/>
              </w:rPr>
            </w:pPr>
          </w:p>
        </w:tc>
      </w:tr>
    </w:tbl>
    <w:p w:rsidR="007D1EB9" w:rsidRDefault="002C0C4F"/>
    <w:sectPr w:rsidR="007D1EB9" w:rsidSect="00FF3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4F"/>
    <w:rsid w:val="002C0C4F"/>
    <w:rsid w:val="00722901"/>
    <w:rsid w:val="00FF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490518E-BC83-B74B-BB0D-0122D062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0C4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C4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C0C4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C0C4F"/>
    <w:rPr>
      <w:color w:val="0000FF"/>
      <w:u w:val="single"/>
    </w:rPr>
  </w:style>
  <w:style w:type="character" w:customStyle="1" w:styleId="apple-converted-space">
    <w:name w:val="apple-converted-space"/>
    <w:basedOn w:val="DefaultParagraphFont"/>
    <w:rsid w:val="002C0C4F"/>
  </w:style>
  <w:style w:type="character" w:styleId="Strong">
    <w:name w:val="Strong"/>
    <w:basedOn w:val="DefaultParagraphFont"/>
    <w:uiPriority w:val="22"/>
    <w:qFormat/>
    <w:rsid w:val="002C0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7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odzeleski@LegacyWealthAdvisorsNY.com?subject=Tell%20me%20more%20about%20Coping%20with%20Market%20Volatility:%20Could%20This%20Be%20a%20Chance%20to%20Rebalance%20at%20a%20Discount?&amp;body=Hi%20Mark.%20Please%20tell%20me%20more%20about%20Coping%20with%20Market%20Volatility:%20Could%20This%20Be%20a%20Chance%20to%20Rebalance%20at%20a%20Dis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Mullin</dc:creator>
  <cp:keywords/>
  <dc:description/>
  <cp:lastModifiedBy>Patricia Mullin</cp:lastModifiedBy>
  <cp:revision>1</cp:revision>
  <dcterms:created xsi:type="dcterms:W3CDTF">2020-04-22T18:08:00Z</dcterms:created>
  <dcterms:modified xsi:type="dcterms:W3CDTF">2020-04-22T18:12:00Z</dcterms:modified>
</cp:coreProperties>
</file>